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hint="eastAsia" w:ascii="宋体" w:eastAsia="黑体"/>
          <w:sz w:val="44"/>
          <w:szCs w:val="44"/>
          <w:lang w:val="en-US" w:eastAsia="zh-CN"/>
        </w:rPr>
      </w:pPr>
      <w:r>
        <w:rPr>
          <w:rFonts w:ascii="宋体" w:eastAsia="黑体"/>
          <w:b w:val="0"/>
          <w:sz w:val="44"/>
          <w:szCs w:val="44"/>
        </w:rPr>
        <w:t>中共新疆维吾尔自治区委员会办公厅</w:t>
      </w:r>
      <w:r>
        <w:rPr>
          <w:rFonts w:hint="eastAsia" w:ascii="宋体" w:eastAsia="黑体"/>
          <w:b w:val="0"/>
          <w:sz w:val="44"/>
          <w:szCs w:val="44"/>
          <w:lang w:val="en-US" w:eastAsia="zh-CN"/>
        </w:rPr>
        <w:t>(本级）</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2"/>
          <w:szCs w:val="32"/>
        </w:rPr>
        <w:t>目录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b/>
          <w:sz w:val="32"/>
          <w:szCs w:val="32"/>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第一部分单位概况</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hint="eastAsia" w:ascii="黑体" w:eastAsia="黑体"/>
          <w:b w:val="0"/>
          <w:sz w:val="32"/>
          <w:szCs w:val="32"/>
          <w:lang w:eastAsia="zh-CN"/>
        </w:rPr>
      </w:pPr>
      <w:r>
        <w:rPr>
          <w:rFonts w:ascii="黑体" w:eastAsia="黑体"/>
          <w:b w:val="0"/>
          <w:sz w:val="32"/>
          <w:szCs w:val="32"/>
        </w:rPr>
        <w:t>主要职能</w:t>
      </w:r>
      <w:r>
        <w:rPr>
          <w:rFonts w:hint="eastAsia" w:ascii="黑体" w:eastAsia="黑体"/>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lang w:eastAsia="zh-CN"/>
        </w:rPr>
      </w:pPr>
      <w:r>
        <w:rPr>
          <w:rFonts w:hint="eastAsia" w:ascii="方正仿宋简体" w:hAnsi="方正仿宋简体" w:eastAsia="方正仿宋简体" w:cs="方正仿宋简体"/>
          <w:b w:val="0"/>
          <w:sz w:val="32"/>
          <w:szCs w:val="32"/>
          <w:lang w:eastAsia="zh-CN"/>
        </w:rPr>
        <w:t>主要职能：略。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hint="eastAsia" w:ascii="黑体" w:eastAsia="黑体"/>
          <w:sz w:val="32"/>
          <w:szCs w:val="32"/>
          <w:lang w:eastAsia="zh-CN"/>
        </w:rPr>
      </w:pPr>
      <w:r>
        <w:rPr>
          <w:rFonts w:ascii="黑体" w:eastAsia="黑体"/>
          <w:b w:val="0"/>
          <w:sz w:val="32"/>
          <w:szCs w:val="32"/>
        </w:rPr>
        <w:t>二、机构设置及人员情况</w:t>
      </w:r>
      <w:r>
        <w:rPr>
          <w:rFonts w:hint="eastAsia" w:ascii="黑体" w:eastAsia="黑体"/>
          <w:b w:val="0"/>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方正仿宋简体" w:hAnsi="方正仿宋简体" w:eastAsia="方正仿宋简体" w:cs="方正仿宋简体"/>
        </w:rPr>
      </w:pPr>
      <w:r>
        <w:rPr>
          <w:rFonts w:hint="eastAsia" w:ascii="方正仿宋简体" w:hAnsi="方正仿宋简体" w:eastAsia="方正仿宋简体" w:cs="方正仿宋简体"/>
          <w:color w:val="000000"/>
          <w:kern w:val="0"/>
          <w:sz w:val="31"/>
          <w:szCs w:val="31"/>
          <w:lang w:val="en-US" w:eastAsia="zh-CN" w:bidi="ar"/>
        </w:rPr>
        <w:t xml:space="preserve">人员情况:略。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方正仿宋简体" w:hAnsi="方正仿宋简体" w:eastAsia="方正仿宋简体" w:cs="方正仿宋简体"/>
        </w:rPr>
      </w:pPr>
      <w:r>
        <w:rPr>
          <w:rFonts w:hint="eastAsia" w:ascii="方正仿宋简体" w:hAnsi="方正仿宋简体" w:eastAsia="方正仿宋简体" w:cs="方正仿宋简体"/>
          <w:color w:val="000000"/>
          <w:kern w:val="0"/>
          <w:sz w:val="31"/>
          <w:szCs w:val="31"/>
          <w:lang w:val="en-US" w:eastAsia="zh-CN" w:bidi="ar"/>
        </w:rPr>
        <w:t xml:space="preserve">中共新疆维吾尔自治区委员会办公厅（本级）无下属预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rPr>
      </w:pPr>
      <w:r>
        <w:rPr>
          <w:rFonts w:hint="eastAsia" w:ascii="方正仿宋简体" w:hAnsi="方正仿宋简体" w:eastAsia="方正仿宋简体" w:cs="方正仿宋简体"/>
          <w:color w:val="000000"/>
          <w:kern w:val="0"/>
          <w:sz w:val="31"/>
          <w:szCs w:val="31"/>
          <w:lang w:val="en-US" w:eastAsia="zh-CN" w:bidi="ar"/>
        </w:rPr>
        <w:t xml:space="preserve">算单位，下设处室情况:略。 </w:t>
      </w:r>
    </w:p>
    <w:p>
      <w:pPr>
        <w:keepNext w:val="0"/>
        <w:keepLines w:val="0"/>
        <w:pageBreakBefore w:val="0"/>
        <w:widowControl/>
        <w:kinsoku/>
        <w:wordWrap/>
        <w:overflowPunct/>
        <w:topLinePunct w:val="0"/>
        <w:autoSpaceDE/>
        <w:autoSpaceDN/>
        <w:bidi w:val="0"/>
        <w:adjustRightInd/>
        <w:snapToGrid/>
        <w:spacing w:line="560" w:lineRule="exact"/>
        <w:textAlignment w:val="auto"/>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2024年度收入总计21,699.68万元，其中：本年收入合计20,322.05万元，使用非财政拨款结余（含专用结余）0.00万元，年初结转和结余1,377.63万元。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2024年度支出总计21,699.68万元，其中：本年支出合计20,480.80万元，结余分配0.00万元，年末结转和结余1,218.88万元。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收入支出总体与上年相比，增加4,119.20万元，增长23.43%，主要原因是：</w:t>
      </w:r>
      <w:r>
        <w:rPr>
          <w:rFonts w:hint="eastAsia" w:ascii="方正仿宋简体" w:hAnsi="方正仿宋简体" w:eastAsia="方正仿宋简体" w:cs="方正仿宋简体"/>
          <w:b w:val="0"/>
          <w:sz w:val="32"/>
          <w:szCs w:val="32"/>
          <w:lang w:val="en-US" w:eastAsia="zh-CN"/>
        </w:rPr>
        <w:t>2024年相关工程建设费用，专项业务费较2023年增加</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本年收入20,322.05万元，其中：财政拨款收入20,317.55万元,占99.98%；上级补助收入0.00万元,占0.00%；事业收入0.00万元，占0.00%；经营收入0.00万元,占0.00%；附属单位上缴收入0.00万元，占0.00%；其他收入4.50万元，占0.02%。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本年支出20,480.80万元，其中：基本支出9,796.99万元，占47.83%；项目</w:t>
      </w:r>
      <w:r>
        <w:rPr>
          <w:rFonts w:hint="eastAsia" w:ascii="方正仿宋简体" w:hAnsi="方正仿宋简体" w:eastAsia="方正仿宋简体" w:cs="方正仿宋简体"/>
          <w:b w:val="0"/>
          <w:sz w:val="32"/>
          <w:szCs w:val="32"/>
          <w:highlight w:val="none"/>
        </w:rPr>
        <w:t>支出10,683.8</w:t>
      </w:r>
      <w:r>
        <w:rPr>
          <w:rFonts w:hint="eastAsia" w:ascii="方正仿宋简体" w:hAnsi="方正仿宋简体" w:eastAsia="方正仿宋简体" w:cs="方正仿宋简体"/>
          <w:b w:val="0"/>
          <w:sz w:val="32"/>
          <w:szCs w:val="32"/>
          <w:highlight w:val="none"/>
          <w:lang w:val="en-US" w:eastAsia="zh-CN"/>
        </w:rPr>
        <w:t>1</w:t>
      </w:r>
      <w:r>
        <w:rPr>
          <w:rFonts w:hint="eastAsia" w:ascii="方正仿宋简体" w:hAnsi="方正仿宋简体" w:eastAsia="方正仿宋简体" w:cs="方正仿宋简体"/>
          <w:b w:val="0"/>
          <w:sz w:val="32"/>
          <w:szCs w:val="32"/>
          <w:highlight w:val="none"/>
        </w:rPr>
        <w:t>万元，占52.</w:t>
      </w:r>
      <w:r>
        <w:rPr>
          <w:rFonts w:hint="eastAsia" w:ascii="方正仿宋简体" w:hAnsi="方正仿宋简体" w:eastAsia="方正仿宋简体" w:cs="方正仿宋简体"/>
          <w:b w:val="0"/>
          <w:sz w:val="32"/>
          <w:szCs w:val="32"/>
        </w:rPr>
        <w:t>17%；上缴上级支出0.00万元，占0.00%；经营支出0.00万元，占0.00%；对附属单位补助支出0.00万元，占0.00%。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财政拨款收入总计20,317.55万元，其中：年初财政拨款结转和结余0.00万元，本年财政拨款收入20,317.55万元。财政拨款支出总计20,317.55万元，其中：年末财政拨款结转和结余0.00万元，本年财政拨款支出20,317.55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财政拨款收入支出总体与上年相比，增加4,860.57万元，增长31.45%，主要原因是：</w:t>
      </w:r>
      <w:r>
        <w:rPr>
          <w:rFonts w:hint="eastAsia" w:ascii="方正仿宋简体" w:hAnsi="方正仿宋简体" w:eastAsia="方正仿宋简体" w:cs="方正仿宋简体"/>
          <w:b w:val="0"/>
          <w:sz w:val="32"/>
          <w:szCs w:val="32"/>
          <w:lang w:val="en-US" w:eastAsia="zh-CN"/>
        </w:rPr>
        <w:t>2024年相关工程建设费用，专项业务费较2023年增加</w:t>
      </w:r>
      <w:r>
        <w:rPr>
          <w:rFonts w:hint="eastAsia" w:ascii="方正仿宋简体" w:hAnsi="方正仿宋简体" w:eastAsia="方正仿宋简体" w:cs="方正仿宋简体"/>
          <w:b w:val="0"/>
          <w:sz w:val="32"/>
          <w:szCs w:val="32"/>
        </w:rPr>
        <w:t>。与年初预算相比，年初预算数12,152.87万元，决算数20,317.55万元，预决算差异率67.18%，主要原因是：</w:t>
      </w:r>
      <w:r>
        <w:rPr>
          <w:rFonts w:hint="eastAsia" w:ascii="方正仿宋简体" w:hAnsi="方正仿宋简体" w:eastAsia="方正仿宋简体" w:cs="方正仿宋简体"/>
          <w:b w:val="0"/>
          <w:sz w:val="32"/>
          <w:szCs w:val="32"/>
          <w:lang w:eastAsia="zh-CN"/>
        </w:rPr>
        <w:t>当年财政追加相关工程建设费用</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2024年度一般公共预算财政拨款支出20,317.55万元，占本年支出合计的99.20%。与上年相比，增加4,860.57万元，增长31.45%，主要原因是：</w:t>
      </w:r>
      <w:r>
        <w:rPr>
          <w:rFonts w:hint="eastAsia" w:ascii="方正仿宋简体" w:hAnsi="方正仿宋简体" w:eastAsia="方正仿宋简体" w:cs="方正仿宋简体"/>
          <w:b w:val="0"/>
          <w:sz w:val="32"/>
          <w:szCs w:val="32"/>
          <w:lang w:val="en-US" w:eastAsia="zh-CN"/>
        </w:rPr>
        <w:t>2024年相关工程建设费用，专项业务费较2023年增加</w:t>
      </w:r>
      <w:r>
        <w:rPr>
          <w:rFonts w:hint="eastAsia" w:ascii="方正仿宋简体" w:hAnsi="方正仿宋简体" w:eastAsia="方正仿宋简体" w:cs="方正仿宋简体"/>
          <w:b w:val="0"/>
          <w:sz w:val="32"/>
          <w:szCs w:val="32"/>
        </w:rPr>
        <w:t>。与年初预算相比，年初预算数12,152.87万元，决算数20,317.55万元，预决算差异率67.18%，主要原因是：当年财政追加</w:t>
      </w:r>
      <w:r>
        <w:rPr>
          <w:rFonts w:hint="eastAsia" w:ascii="方正仿宋简体" w:hAnsi="方正仿宋简体" w:eastAsia="方正仿宋简体" w:cs="方正仿宋简体"/>
          <w:b w:val="0"/>
          <w:sz w:val="32"/>
          <w:szCs w:val="32"/>
          <w:lang w:eastAsia="zh-CN"/>
        </w:rPr>
        <w:t>相关</w:t>
      </w:r>
      <w:r>
        <w:rPr>
          <w:rFonts w:hint="eastAsia" w:ascii="方正仿宋简体" w:hAnsi="方正仿宋简体" w:eastAsia="方正仿宋简体" w:cs="方正仿宋简体"/>
          <w:b w:val="0"/>
          <w:sz w:val="32"/>
          <w:szCs w:val="32"/>
        </w:rPr>
        <w:t>工程建设费用。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一般公共服务支出（类）17,349.21万元，占85.39%。</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社会保障和就业支出（类）1,853.02万元，占9.12%。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卫生健康支出（类）587.08万元，占2.89%。</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住房保障支出（类）528.2</w:t>
      </w:r>
      <w:r>
        <w:rPr>
          <w:rFonts w:hint="eastAsia" w:ascii="方正仿宋简体" w:hAnsi="方正仿宋简体" w:eastAsia="方正仿宋简体" w:cs="方正仿宋简体"/>
          <w:b w:val="0"/>
          <w:sz w:val="32"/>
          <w:szCs w:val="32"/>
          <w:lang w:val="en-US" w:eastAsia="zh-CN"/>
        </w:rPr>
        <w:t>4</w:t>
      </w:r>
      <w:r>
        <w:rPr>
          <w:rFonts w:hint="eastAsia" w:ascii="方正仿宋简体" w:hAnsi="方正仿宋简体" w:eastAsia="方正仿宋简体" w:cs="方正仿宋简体"/>
          <w:b w:val="0"/>
          <w:sz w:val="32"/>
          <w:szCs w:val="32"/>
        </w:rPr>
        <w:t>万元，占2.60%。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sz w:val="32"/>
          <w:szCs w:val="32"/>
          <w:highlight w:val="none"/>
        </w:rPr>
        <w:t>1、</w:t>
      </w:r>
      <w:r>
        <w:rPr>
          <w:rFonts w:hint="eastAsia" w:ascii="方正仿宋简体" w:hAnsi="方正仿宋简体" w:eastAsia="方正仿宋简体" w:cs="方正仿宋简体"/>
          <w:b w:val="0"/>
          <w:sz w:val="32"/>
          <w:szCs w:val="32"/>
        </w:rPr>
        <w:t>一般公共服务支出（类）党委办公厅（室）及相关机构事务（款）行政运行（项）：支出决算数为5,613.97万元，比上年决算减少283.01万元，下降4.80%，主要原因是：</w:t>
      </w:r>
      <w:r>
        <w:rPr>
          <w:rFonts w:hint="eastAsia" w:ascii="方正仿宋简体" w:hAnsi="方正仿宋简体" w:eastAsia="方正仿宋简体" w:cs="方正仿宋简体"/>
          <w:b w:val="0"/>
          <w:sz w:val="32"/>
          <w:szCs w:val="32"/>
          <w:lang w:val="en-US" w:eastAsia="zh-CN"/>
        </w:rPr>
        <w:t>党委办公厅厉行节约压缩一般性费用开支。</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b w:val="0"/>
          <w:sz w:val="32"/>
          <w:szCs w:val="32"/>
          <w:highlight w:val="none"/>
          <w:lang w:val="en-US" w:eastAsia="zh-CN"/>
        </w:rPr>
        <w:t>2</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一般公共服务支出（类）党委办公厅（室）及相关机构事务（款）专项业务（项）：支出决算数为10,520.57万元，比上年决算增加5,143.17万元，增长95.64%，主要原因是：</w:t>
      </w:r>
      <w:r>
        <w:rPr>
          <w:rFonts w:hint="eastAsia" w:ascii="方正仿宋简体" w:hAnsi="方正仿宋简体" w:eastAsia="方正仿宋简体" w:cs="方正仿宋简体"/>
          <w:b w:val="0"/>
          <w:sz w:val="32"/>
          <w:szCs w:val="32"/>
          <w:lang w:val="en-US" w:eastAsia="zh-CN"/>
        </w:rPr>
        <w:t>2024年相关工程建设费用，专项业务费较2023年增加。</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sz w:val="32"/>
          <w:szCs w:val="32"/>
          <w:lang w:val="en-US" w:eastAsia="zh-CN"/>
        </w:rPr>
        <w:t>3</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一般公共服务支出（类）党委办公厅（室）及相关机构事务（款）事业运行（项）：支出决算数为1,214.67万元，比上年决算减少117.64万元，下降8.83%，主要原因是：</w:t>
      </w:r>
      <w:r>
        <w:rPr>
          <w:rFonts w:hint="eastAsia" w:ascii="方正仿宋简体" w:hAnsi="方正仿宋简体" w:eastAsia="方正仿宋简体" w:cs="方正仿宋简体"/>
          <w:b w:val="0"/>
          <w:sz w:val="32"/>
          <w:szCs w:val="32"/>
          <w:lang w:val="en-US" w:eastAsia="zh-CN"/>
        </w:rPr>
        <w:t>党委办公厅厉行节约压缩一般性费用开支。</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sz w:val="32"/>
          <w:szCs w:val="32"/>
          <w:lang w:val="en-US" w:eastAsia="zh-CN"/>
        </w:rPr>
        <w:t>4</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社会保障和就业支出（类）行政事业单位养老支出（款）行政单位离退休（项）：支出决算数为924.79万元，比上年决算增加24.90万元，增长2.77%，主要原因是：</w:t>
      </w:r>
      <w:r>
        <w:rPr>
          <w:rFonts w:hint="eastAsia" w:ascii="方正仿宋简体" w:hAnsi="方正仿宋简体" w:eastAsia="方正仿宋简体" w:cs="方正仿宋简体"/>
          <w:b w:val="0"/>
          <w:sz w:val="32"/>
          <w:szCs w:val="32"/>
          <w:lang w:val="en-US" w:eastAsia="zh-CN"/>
        </w:rPr>
        <w:t>2024年新增行政离退休人员，该项支出增加。</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b w:val="0"/>
          <w:sz w:val="32"/>
          <w:szCs w:val="32"/>
          <w:lang w:val="en-US" w:eastAsia="zh-CN"/>
        </w:rPr>
        <w:t>5</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社会保障和就业支出（类）行政事业单位养老支出（款）事业单位离退休（项）：支出决算数为15.67万元，比上年决算增加15.67万元，增长</w:t>
      </w:r>
      <w:r>
        <w:rPr>
          <w:rFonts w:hint="eastAsia" w:ascii="方正仿宋简体" w:hAnsi="方正仿宋简体" w:eastAsia="方正仿宋简体" w:cs="方正仿宋简体"/>
          <w:b w:val="0"/>
          <w:sz w:val="32"/>
          <w:szCs w:val="32"/>
          <w:lang w:val="en-US" w:eastAsia="zh-CN"/>
        </w:rPr>
        <w:t>10</w:t>
      </w:r>
      <w:r>
        <w:rPr>
          <w:rFonts w:hint="eastAsia" w:ascii="方正仿宋简体" w:hAnsi="方正仿宋简体" w:eastAsia="方正仿宋简体" w:cs="方正仿宋简体"/>
          <w:b w:val="0"/>
          <w:sz w:val="32"/>
          <w:szCs w:val="32"/>
        </w:rPr>
        <w:t>0.00%，主要原因是：</w:t>
      </w:r>
      <w:r>
        <w:rPr>
          <w:rFonts w:hint="eastAsia" w:ascii="方正仿宋简体" w:hAnsi="方正仿宋简体" w:eastAsia="方正仿宋简体" w:cs="方正仿宋简体"/>
          <w:b w:val="0"/>
          <w:sz w:val="32"/>
          <w:szCs w:val="32"/>
          <w:highlight w:val="none"/>
        </w:rPr>
        <w:t>2023 年</w:t>
      </w:r>
      <w:r>
        <w:rPr>
          <w:rFonts w:hint="eastAsia" w:ascii="方正仿宋简体" w:hAnsi="方正仿宋简体" w:eastAsia="方正仿宋简体" w:cs="方正仿宋简体"/>
          <w:b w:val="0"/>
          <w:sz w:val="32"/>
          <w:szCs w:val="32"/>
          <w:highlight w:val="none"/>
          <w:lang w:eastAsia="zh-CN"/>
        </w:rPr>
        <w:t>没有新增</w:t>
      </w:r>
      <w:bookmarkStart w:id="0" w:name="_GoBack"/>
      <w:bookmarkEnd w:id="0"/>
      <w:r>
        <w:rPr>
          <w:rFonts w:hint="eastAsia" w:ascii="方正仿宋简体" w:hAnsi="方正仿宋简体" w:eastAsia="方正仿宋简体" w:cs="方正仿宋简体"/>
          <w:b w:val="0"/>
          <w:sz w:val="32"/>
          <w:szCs w:val="32"/>
          <w:highlight w:val="none"/>
          <w:lang w:eastAsia="zh-CN"/>
        </w:rPr>
        <w:t>事业单位离退休人员，</w:t>
      </w:r>
      <w:r>
        <w:rPr>
          <w:rFonts w:hint="eastAsia" w:ascii="方正仿宋简体" w:hAnsi="方正仿宋简体" w:eastAsia="方正仿宋简体" w:cs="方正仿宋简体"/>
          <w:b w:val="0"/>
          <w:sz w:val="32"/>
          <w:szCs w:val="32"/>
          <w:highlight w:val="none"/>
          <w:lang w:val="en-US" w:eastAsia="zh-CN"/>
        </w:rPr>
        <w:t>2024年新增离退休人员，该项支出增加。</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lang w:val="en-US" w:eastAsia="zh-CN"/>
        </w:rPr>
        <w:t>6</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社会保障和就业支出（类）行政事业单位养老支出（款）机关事业单位基本养老保险缴费支出（项）：支出决算数为681.80万元，比上年决算增加31.21万元，增长4.80%，主要原因是：</w:t>
      </w:r>
      <w:r>
        <w:rPr>
          <w:rFonts w:hint="eastAsia" w:ascii="方正仿宋简体" w:hAnsi="方正仿宋简体" w:eastAsia="方正仿宋简体" w:cs="方正仿宋简体"/>
          <w:b w:val="0"/>
          <w:sz w:val="32"/>
          <w:szCs w:val="32"/>
          <w:lang w:val="en-US" w:eastAsia="zh-CN"/>
        </w:rPr>
        <w:t>2024年单位调增单位养老基数。</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lang w:val="en-US" w:eastAsia="zh-CN"/>
        </w:rPr>
        <w:t>7</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社会保障和就业支出（类）行政事业单位养老支出（款）机关事业单位职业年金缴费支出（项）：支出决算数为230.76万元，比上年决算增加38.07万元，增长19.76%，主要原因是：</w:t>
      </w:r>
      <w:r>
        <w:rPr>
          <w:rFonts w:hint="eastAsia" w:ascii="方正仿宋简体" w:hAnsi="方正仿宋简体" w:eastAsia="方正仿宋简体" w:cs="方正仿宋简体"/>
          <w:b w:val="0"/>
          <w:sz w:val="32"/>
          <w:szCs w:val="32"/>
          <w:lang w:val="en-US" w:eastAsia="zh-CN"/>
        </w:rPr>
        <w:t>2024年单位调增职业年金缴费基数。</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highlight w:val="none"/>
          <w:lang w:val="en-US" w:eastAsia="zh-CN"/>
        </w:rPr>
        <w:t>8</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卫生健康支出（类）行政事业单位医疗（款）行政单位医疗（项）：支出决算数为251.91万元，比上年决算增加21.31万元，增长9.24%，主要原因是：</w:t>
      </w:r>
      <w:r>
        <w:rPr>
          <w:rFonts w:hint="eastAsia" w:ascii="方正仿宋简体" w:hAnsi="方正仿宋简体" w:eastAsia="方正仿宋简体" w:cs="方正仿宋简体"/>
          <w:b w:val="0"/>
          <w:sz w:val="32"/>
          <w:szCs w:val="32"/>
          <w:lang w:val="en-US" w:eastAsia="zh-CN"/>
        </w:rPr>
        <w:t>2024年单位调增行政单位医疗缴费基数。</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lang w:val="en-US" w:eastAsia="zh-CN"/>
        </w:rPr>
        <w:t>9</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卫生健康支出（类）行政事业单位医疗（款）事业单位医疗（项）：支出决算数为78.96万元，比上年决算增加8.36万元，增长11.84%，主要原因是：</w:t>
      </w:r>
      <w:r>
        <w:rPr>
          <w:rFonts w:hint="eastAsia" w:ascii="方正仿宋简体" w:hAnsi="方正仿宋简体" w:eastAsia="方正仿宋简体" w:cs="方正仿宋简体"/>
          <w:b w:val="0"/>
          <w:sz w:val="32"/>
          <w:szCs w:val="32"/>
          <w:lang w:val="en-US" w:eastAsia="zh-CN"/>
        </w:rPr>
        <w:t>2024年单位调增事业医疗缴费基数。</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sz w:val="32"/>
          <w:szCs w:val="32"/>
          <w:lang w:val="en-US" w:eastAsia="zh-CN"/>
        </w:rPr>
        <w:t>10</w:t>
      </w:r>
      <w:r>
        <w:rPr>
          <w:rFonts w:hint="eastAsia" w:ascii="方正仿宋简体" w:hAnsi="方正仿宋简体" w:eastAsia="方正仿宋简体" w:cs="方正仿宋简体"/>
          <w:b w:val="0"/>
          <w:sz w:val="32"/>
          <w:szCs w:val="32"/>
          <w:highlight w:val="none"/>
        </w:rPr>
        <w:t>、</w:t>
      </w:r>
      <w:r>
        <w:rPr>
          <w:rFonts w:hint="eastAsia" w:ascii="方正仿宋简体" w:hAnsi="方正仿宋简体" w:eastAsia="方正仿宋简体" w:cs="方正仿宋简体"/>
          <w:b w:val="0"/>
          <w:sz w:val="32"/>
          <w:szCs w:val="32"/>
        </w:rPr>
        <w:t>卫生健康支出（类）行政事业单位医疗（款）公务员医疗补助（项）：支出决算数为256.21万元，比上年决算减少24.91万元，下降8.86%，主要原因是：</w:t>
      </w:r>
      <w:r>
        <w:rPr>
          <w:rFonts w:hint="eastAsia" w:ascii="方正仿宋简体" w:hAnsi="方正仿宋简体" w:eastAsia="方正仿宋简体" w:cs="方正仿宋简体"/>
          <w:b w:val="0"/>
          <w:sz w:val="32"/>
          <w:szCs w:val="32"/>
          <w:lang w:val="en-US" w:eastAsia="zh-CN"/>
        </w:rPr>
        <w:t>2024年单位人员退休，</w:t>
      </w:r>
      <w:r>
        <w:rPr>
          <w:rFonts w:hint="eastAsia" w:ascii="方正仿宋简体" w:hAnsi="方正仿宋简体" w:eastAsia="方正仿宋简体" w:cs="方正仿宋简体"/>
          <w:b w:val="0"/>
          <w:sz w:val="32"/>
          <w:szCs w:val="32"/>
        </w:rPr>
        <w:t>公务员医疗补助（项）</w:t>
      </w:r>
      <w:r>
        <w:rPr>
          <w:rFonts w:hint="eastAsia" w:ascii="方正仿宋简体" w:hAnsi="方正仿宋简体" w:eastAsia="方正仿宋简体" w:cs="方正仿宋简体"/>
          <w:b w:val="0"/>
          <w:sz w:val="32"/>
          <w:szCs w:val="32"/>
          <w:lang w:eastAsia="zh-CN"/>
        </w:rPr>
        <w:t>减少。</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sz w:val="32"/>
          <w:szCs w:val="32"/>
          <w:lang w:val="en-US" w:eastAsia="zh-CN"/>
        </w:rPr>
        <w:t>11</w:t>
      </w:r>
      <w:r>
        <w:rPr>
          <w:rFonts w:hint="eastAsia" w:ascii="方正仿宋简体" w:hAnsi="方正仿宋简体" w:eastAsia="方正仿宋简体" w:cs="方正仿宋简体"/>
          <w:b w:val="0"/>
          <w:sz w:val="32"/>
          <w:szCs w:val="32"/>
        </w:rPr>
        <w:t>住房保障支出（类）住房改革支出（款）住房公积金（项）：支出决算数为528.2</w:t>
      </w:r>
      <w:r>
        <w:rPr>
          <w:rFonts w:hint="eastAsia" w:ascii="方正仿宋简体" w:hAnsi="方正仿宋简体" w:eastAsia="方正仿宋简体" w:cs="方正仿宋简体"/>
          <w:b w:val="0"/>
          <w:sz w:val="32"/>
          <w:szCs w:val="32"/>
          <w:lang w:val="en-US" w:eastAsia="zh-CN"/>
        </w:rPr>
        <w:t>4</w:t>
      </w:r>
      <w:r>
        <w:rPr>
          <w:rFonts w:hint="eastAsia" w:ascii="方正仿宋简体" w:hAnsi="方正仿宋简体" w:eastAsia="方正仿宋简体" w:cs="方正仿宋简体"/>
          <w:b w:val="0"/>
          <w:sz w:val="32"/>
          <w:szCs w:val="32"/>
        </w:rPr>
        <w:t>万元，比上年决算增加</w:t>
      </w:r>
      <w:r>
        <w:rPr>
          <w:rFonts w:hint="eastAsia" w:ascii="方正仿宋简体" w:hAnsi="方正仿宋简体" w:eastAsia="方正仿宋简体" w:cs="方正仿宋简体"/>
          <w:b w:val="0"/>
          <w:sz w:val="32"/>
          <w:szCs w:val="32"/>
          <w:lang w:val="en-US" w:eastAsia="zh-CN"/>
        </w:rPr>
        <w:t>3.44</w:t>
      </w:r>
      <w:r>
        <w:rPr>
          <w:rFonts w:hint="eastAsia" w:ascii="方正仿宋简体" w:hAnsi="方正仿宋简体" w:eastAsia="方正仿宋简体" w:cs="方正仿宋简体"/>
          <w:b w:val="0"/>
          <w:sz w:val="32"/>
          <w:szCs w:val="32"/>
        </w:rPr>
        <w:t>万元，增长0.66%，主要原因是：</w:t>
      </w:r>
      <w:r>
        <w:rPr>
          <w:rFonts w:hint="eastAsia" w:ascii="方正仿宋简体" w:hAnsi="方正仿宋简体" w:eastAsia="方正仿宋简体" w:cs="方正仿宋简体"/>
          <w:b w:val="0"/>
          <w:sz w:val="32"/>
          <w:szCs w:val="32"/>
          <w:lang w:val="en-US" w:eastAsia="zh-CN"/>
        </w:rPr>
        <w:t>2024年单位调增住房公积金基数。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一般公共预算财政拨款基本支出9,796.99万元，其中：人员经费8,289.47万元，包括：基本工资、津贴补贴、奖金、绩效工资、机关事业单位基本养老保险缴费、职业年金缴费、职工基本医疗保险缴费、公务员医疗补助缴费、其他社会保障缴费、住房公积金、其他工资福利支出、离休费、退休费、抚恤金、生活补助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公用经</w:t>
      </w:r>
      <w:r>
        <w:rPr>
          <w:rFonts w:hint="eastAsia" w:ascii="方正仿宋简体" w:hAnsi="方正仿宋简体" w:eastAsia="方正仿宋简体" w:cs="方正仿宋简体"/>
          <w:b w:val="0"/>
          <w:sz w:val="32"/>
          <w:szCs w:val="32"/>
          <w:highlight w:val="none"/>
        </w:rPr>
        <w:t>费1,507.5</w:t>
      </w:r>
      <w:r>
        <w:rPr>
          <w:rFonts w:hint="eastAsia" w:ascii="方正仿宋简体" w:hAnsi="方正仿宋简体" w:eastAsia="方正仿宋简体" w:cs="方正仿宋简体"/>
          <w:b w:val="0"/>
          <w:sz w:val="32"/>
          <w:szCs w:val="32"/>
          <w:highlight w:val="none"/>
          <w:lang w:val="en-US" w:eastAsia="zh-CN"/>
        </w:rPr>
        <w:t>2</w:t>
      </w:r>
      <w:r>
        <w:rPr>
          <w:rFonts w:hint="eastAsia" w:ascii="方正仿宋简体" w:hAnsi="方正仿宋简体" w:eastAsia="方正仿宋简体" w:cs="方正仿宋简体"/>
          <w:b w:val="0"/>
          <w:sz w:val="32"/>
          <w:szCs w:val="32"/>
          <w:highlight w:val="none"/>
        </w:rPr>
        <w:t>万元，包括：办公费、水费、电费、邮电费、取暖费、差旅费、工会</w:t>
      </w:r>
      <w:r>
        <w:rPr>
          <w:rFonts w:hint="eastAsia" w:ascii="方正仿宋简体" w:hAnsi="方正仿宋简体" w:eastAsia="方正仿宋简体" w:cs="方正仿宋简体"/>
          <w:b w:val="0"/>
          <w:sz w:val="32"/>
          <w:szCs w:val="32"/>
        </w:rPr>
        <w:t>经费、福利费、公务用车运行维护费、其他商品和服务支出和公务用车购置。</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2024年度财政拨款“三公”经费支出356.76万元，比上年减少64.42万元，下降15.30%，主要原因是：</w:t>
      </w:r>
      <w:r>
        <w:rPr>
          <w:rFonts w:hint="eastAsia" w:ascii="方正仿宋简体" w:hAnsi="方正仿宋简体" w:eastAsia="方正仿宋简体" w:cs="方正仿宋简体"/>
          <w:b w:val="0"/>
          <w:sz w:val="32"/>
          <w:szCs w:val="32"/>
          <w:lang w:eastAsia="zh-CN"/>
        </w:rPr>
        <w:t>党委办公厅厉行节约，严控“三公”经费</w:t>
      </w:r>
      <w:r>
        <w:rPr>
          <w:rFonts w:hint="eastAsia" w:ascii="方正仿宋简体" w:hAnsi="方正仿宋简体" w:eastAsia="方正仿宋简体" w:cs="方正仿宋简体"/>
          <w:b w:val="0"/>
          <w:sz w:val="32"/>
          <w:szCs w:val="32"/>
        </w:rPr>
        <w:t>。其中：因公出国（境）费支出3.02万元,占0.85%，比上年增加3.02万元，增长100%，主要原因是：</w:t>
      </w:r>
      <w:r>
        <w:rPr>
          <w:rFonts w:hint="eastAsia" w:ascii="方正仿宋简体" w:hAnsi="方正仿宋简体" w:eastAsia="方正仿宋简体" w:cs="方正仿宋简体"/>
          <w:b w:val="0"/>
          <w:sz w:val="32"/>
          <w:szCs w:val="32"/>
          <w:lang w:val="en-US" w:eastAsia="zh-CN"/>
        </w:rPr>
        <w:t>2024年新增因公出国业务，</w:t>
      </w:r>
      <w:r>
        <w:rPr>
          <w:rFonts w:hint="eastAsia" w:ascii="方正仿宋简体" w:hAnsi="方正仿宋简体" w:eastAsia="方正仿宋简体" w:cs="方正仿宋简体"/>
          <w:b w:val="0"/>
          <w:sz w:val="32"/>
          <w:szCs w:val="32"/>
        </w:rPr>
        <w:t>因公出国（境）费支出</w:t>
      </w:r>
      <w:r>
        <w:rPr>
          <w:rFonts w:hint="eastAsia" w:ascii="方正仿宋简体" w:hAnsi="方正仿宋简体" w:eastAsia="方正仿宋简体" w:cs="方正仿宋简体"/>
          <w:b w:val="0"/>
          <w:sz w:val="32"/>
          <w:szCs w:val="32"/>
          <w:lang w:eastAsia="zh-CN"/>
        </w:rPr>
        <w:t>增加</w:t>
      </w:r>
      <w:r>
        <w:rPr>
          <w:rFonts w:hint="eastAsia" w:ascii="方正仿宋简体" w:hAnsi="方正仿宋简体" w:eastAsia="方正仿宋简体" w:cs="方正仿宋简体"/>
          <w:b w:val="0"/>
          <w:sz w:val="32"/>
          <w:szCs w:val="32"/>
        </w:rPr>
        <w:t>；公务用车购置及运行维护费支出353.74万元，占99.15%，比上年减少67.44万元，下降16.01%，主要原因是：</w:t>
      </w:r>
      <w:r>
        <w:rPr>
          <w:rFonts w:hint="eastAsia" w:ascii="方正仿宋简体" w:hAnsi="方正仿宋简体" w:eastAsia="方正仿宋简体" w:cs="方正仿宋简体"/>
          <w:b w:val="0"/>
          <w:sz w:val="32"/>
          <w:szCs w:val="32"/>
          <w:lang w:eastAsia="zh-CN"/>
        </w:rPr>
        <w:t>党委办公厅厉行节约，加强对“三公”经费的管控，主动压减该项支出</w:t>
      </w:r>
      <w:r>
        <w:rPr>
          <w:rFonts w:hint="eastAsia" w:ascii="方正仿宋简体" w:hAnsi="方正仿宋简体" w:eastAsia="方正仿宋简体" w:cs="方正仿宋简体"/>
          <w:b w:val="0"/>
          <w:sz w:val="32"/>
          <w:szCs w:val="32"/>
        </w:rPr>
        <w:t>；公务接待费支出0.00万元，占</w:t>
      </w:r>
      <w:r>
        <w:rPr>
          <w:rFonts w:hint="eastAsia" w:ascii="方正仿宋简体" w:hAnsi="方正仿宋简体" w:eastAsia="方正仿宋简体" w:cs="方正仿宋简体"/>
          <w:b w:val="0"/>
          <w:sz w:val="32"/>
          <w:szCs w:val="32"/>
          <w:lang w:val="en-US" w:eastAsia="zh-CN"/>
        </w:rPr>
        <w:t>0.00</w:t>
      </w:r>
      <w:r>
        <w:rPr>
          <w:rFonts w:hint="eastAsia" w:ascii="方正仿宋简体" w:hAnsi="方正仿宋简体" w:eastAsia="方正仿宋简体" w:cs="方正仿宋简体"/>
          <w:b w:val="0"/>
          <w:sz w:val="32"/>
          <w:szCs w:val="32"/>
        </w:rPr>
        <w:t>%，与上年相比无变化，主要原因是：</w:t>
      </w:r>
      <w:r>
        <w:rPr>
          <w:rFonts w:hint="eastAsia" w:ascii="方正仿宋简体" w:hAnsi="方正仿宋简体" w:eastAsia="方正仿宋简体" w:cs="方正仿宋简体"/>
          <w:color w:val="000000"/>
          <w:kern w:val="0"/>
          <w:sz w:val="31"/>
          <w:szCs w:val="31"/>
          <w:lang w:val="en-US" w:eastAsia="zh-CN" w:bidi="ar"/>
        </w:rPr>
        <w:t>我单位 2024年与上年均无公务接待费</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因公出国（境）费支出3.02万元，开支内容包括</w:t>
      </w:r>
      <w:r>
        <w:rPr>
          <w:rFonts w:hint="eastAsia" w:ascii="方正仿宋简体" w:hAnsi="方正仿宋简体" w:eastAsia="方正仿宋简体" w:cs="方正仿宋简体"/>
          <w:b w:val="0"/>
          <w:sz w:val="32"/>
          <w:szCs w:val="32"/>
          <w:lang w:eastAsia="zh-CN"/>
        </w:rPr>
        <w:t>：根据国家有关部门通知要求进行工作出访</w:t>
      </w:r>
      <w:r>
        <w:rPr>
          <w:rFonts w:hint="eastAsia" w:ascii="方正仿宋简体" w:hAnsi="方正仿宋简体" w:eastAsia="方正仿宋简体" w:cs="方正仿宋简体"/>
          <w:b w:val="0"/>
          <w:sz w:val="32"/>
          <w:szCs w:val="32"/>
        </w:rPr>
        <w:t>。单位全年安排的因公出国（境）团组</w:t>
      </w:r>
      <w:r>
        <w:rPr>
          <w:rFonts w:hint="eastAsia" w:ascii="方正仿宋简体" w:hAnsi="方正仿宋简体" w:eastAsia="方正仿宋简体" w:cs="方正仿宋简体"/>
          <w:b w:val="0"/>
          <w:sz w:val="32"/>
          <w:szCs w:val="32"/>
          <w:lang w:val="en-US" w:eastAsia="zh-CN"/>
        </w:rPr>
        <w:t>0</w:t>
      </w:r>
      <w:r>
        <w:rPr>
          <w:rFonts w:hint="eastAsia" w:ascii="方正仿宋简体" w:hAnsi="方正仿宋简体" w:eastAsia="方正仿宋简体" w:cs="方正仿宋简体"/>
          <w:b w:val="0"/>
          <w:sz w:val="32"/>
          <w:szCs w:val="32"/>
        </w:rPr>
        <w:t>个，因公出国（境）2人次。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b w:val="0"/>
          <w:sz w:val="32"/>
          <w:szCs w:val="32"/>
        </w:rPr>
        <w:t>公务用车购置及运行维护费353.74万元，公务用车运行维护费开支内容包括</w:t>
      </w:r>
      <w:r>
        <w:rPr>
          <w:rFonts w:hint="eastAsia" w:ascii="方正仿宋简体" w:hAnsi="方正仿宋简体" w:eastAsia="方正仿宋简体" w:cs="方正仿宋简体"/>
          <w:b w:val="0"/>
          <w:sz w:val="32"/>
          <w:szCs w:val="32"/>
          <w:lang w:eastAsia="zh-CN"/>
        </w:rPr>
        <w:t>：</w:t>
      </w:r>
      <w:r>
        <w:rPr>
          <w:rFonts w:hint="eastAsia" w:ascii="方正仿宋简体" w:hAnsi="方正仿宋简体" w:eastAsia="方正仿宋简体" w:cs="方正仿宋简体"/>
          <w:sz w:val="32"/>
          <w:szCs w:val="32"/>
          <w:highlight w:val="none"/>
        </w:rPr>
        <w:t>油料费、停车过路费等</w:t>
      </w:r>
      <w:r>
        <w:rPr>
          <w:rFonts w:hint="eastAsia" w:ascii="方正仿宋简体" w:hAnsi="方正仿宋简体" w:eastAsia="方正仿宋简体" w:cs="方正仿宋简体"/>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公务接待费0.00万元，开支内容包括</w:t>
      </w:r>
      <w:r>
        <w:rPr>
          <w:rFonts w:hint="eastAsia" w:ascii="方正仿宋简体" w:hAnsi="方正仿宋简体" w:eastAsia="方正仿宋简体" w:cs="方正仿宋简体"/>
          <w:b w:val="0"/>
          <w:sz w:val="32"/>
          <w:szCs w:val="32"/>
          <w:lang w:eastAsia="zh-CN"/>
        </w:rPr>
        <w:t>：</w:t>
      </w:r>
      <w:r>
        <w:rPr>
          <w:rFonts w:hint="eastAsia" w:ascii="仿宋_GB2312" w:eastAsia="仿宋_GB2312"/>
          <w:sz w:val="32"/>
          <w:szCs w:val="32"/>
          <w:highlight w:val="none"/>
          <w:lang w:eastAsia="zh-CN"/>
        </w:rPr>
        <w:t>我单位无此项支出</w:t>
      </w:r>
      <w:r>
        <w:rPr>
          <w:rFonts w:hint="eastAsia" w:ascii="方正仿宋简体" w:hAnsi="方正仿宋简体" w:eastAsia="方正仿宋简体" w:cs="方正仿宋简体"/>
          <w:b w:val="0"/>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与全年预算相比，财政拨款“三公”经费支出全年预算数356.76万元，决算数356.76万元，预决算差异率0.00%，主要原因是：</w:t>
      </w:r>
      <w:r>
        <w:rPr>
          <w:rFonts w:hint="eastAsia" w:ascii="仿宋_GB2312" w:eastAsia="仿宋_GB2312"/>
          <w:sz w:val="32"/>
          <w:szCs w:val="32"/>
          <w:highlight w:val="none"/>
          <w:lang w:eastAsia="zh-CN"/>
        </w:rPr>
        <w:t>严格按预算执行，杜绝超预算支出</w:t>
      </w:r>
      <w:r>
        <w:rPr>
          <w:rFonts w:hint="eastAsia" w:ascii="方正仿宋简体" w:hAnsi="方正仿宋简体" w:eastAsia="方正仿宋简体" w:cs="方正仿宋简体"/>
          <w:b w:val="0"/>
          <w:sz w:val="32"/>
          <w:szCs w:val="32"/>
        </w:rPr>
        <w:t>。其中：因公出国境费全年预算数3.02万元，决算数3.02万元，预决算差异率0.00%，主要原因是：</w:t>
      </w:r>
      <w:r>
        <w:rPr>
          <w:rFonts w:hint="eastAsia" w:ascii="仿宋_GB2312" w:eastAsia="仿宋_GB2312"/>
          <w:sz w:val="32"/>
          <w:szCs w:val="32"/>
          <w:highlight w:val="none"/>
          <w:lang w:eastAsia="zh-CN"/>
        </w:rPr>
        <w:t>严格按预算执行，杜绝超预算支出</w:t>
      </w:r>
      <w:r>
        <w:rPr>
          <w:rFonts w:hint="eastAsia" w:ascii="方正仿宋简体" w:hAnsi="方正仿宋简体" w:eastAsia="方正仿宋简体" w:cs="方正仿宋简体"/>
          <w:b w:val="0"/>
          <w:sz w:val="32"/>
          <w:szCs w:val="32"/>
        </w:rPr>
        <w:t>。</w:t>
      </w:r>
      <w:r>
        <w:rPr>
          <w:rFonts w:hint="eastAsia" w:ascii="仿宋_GB2312" w:eastAsia="仿宋_GB2312"/>
          <w:sz w:val="32"/>
          <w:szCs w:val="32"/>
          <w:highlight w:val="none"/>
        </w:rPr>
        <w:t>公务用车购置及运行维护费</w:t>
      </w:r>
      <w:r>
        <w:rPr>
          <w:rFonts w:hint="eastAsia" w:ascii="方正仿宋简体" w:hAnsi="方正仿宋简体" w:eastAsia="方正仿宋简体" w:cs="方正仿宋简体"/>
          <w:b w:val="0"/>
          <w:sz w:val="32"/>
          <w:szCs w:val="32"/>
        </w:rPr>
        <w:t>全年预算数</w:t>
      </w:r>
      <w:r>
        <w:rPr>
          <w:rFonts w:hint="eastAsia" w:ascii="方正仿宋简体" w:hAnsi="方正仿宋简体" w:eastAsia="方正仿宋简体" w:cs="方正仿宋简体"/>
          <w:b w:val="0"/>
          <w:sz w:val="32"/>
          <w:szCs w:val="32"/>
          <w:lang w:val="en-US" w:eastAsia="zh-CN"/>
        </w:rPr>
        <w:t>353.74</w:t>
      </w:r>
      <w:r>
        <w:rPr>
          <w:rFonts w:hint="eastAsia" w:ascii="方正仿宋简体" w:hAnsi="方正仿宋简体" w:eastAsia="方正仿宋简体" w:cs="方正仿宋简体"/>
          <w:b w:val="0"/>
          <w:sz w:val="32"/>
          <w:szCs w:val="32"/>
        </w:rPr>
        <w:t>万元，决算数</w:t>
      </w:r>
      <w:r>
        <w:rPr>
          <w:rFonts w:hint="eastAsia" w:ascii="方正仿宋简体" w:hAnsi="方正仿宋简体" w:eastAsia="方正仿宋简体" w:cs="方正仿宋简体"/>
          <w:b w:val="0"/>
          <w:sz w:val="32"/>
          <w:szCs w:val="32"/>
          <w:lang w:val="en-US" w:eastAsia="zh-CN"/>
        </w:rPr>
        <w:t>353.74</w:t>
      </w:r>
      <w:r>
        <w:rPr>
          <w:rFonts w:hint="eastAsia" w:ascii="方正仿宋简体" w:hAnsi="方正仿宋简体" w:eastAsia="方正仿宋简体" w:cs="方正仿宋简体"/>
          <w:b w:val="0"/>
          <w:sz w:val="32"/>
          <w:szCs w:val="32"/>
        </w:rPr>
        <w:t>万元，预决算差异率0.00%，主要原因是：</w:t>
      </w:r>
      <w:r>
        <w:rPr>
          <w:rFonts w:hint="eastAsia" w:ascii="仿宋_GB2312" w:eastAsia="仿宋_GB2312"/>
          <w:sz w:val="32"/>
          <w:szCs w:val="32"/>
          <w:highlight w:val="none"/>
          <w:lang w:eastAsia="zh-CN"/>
        </w:rPr>
        <w:t>严格按预算执行，杜绝超预算支出</w:t>
      </w:r>
      <w:r>
        <w:rPr>
          <w:rFonts w:hint="eastAsia" w:ascii="方正仿宋简体" w:hAnsi="方正仿宋简体" w:eastAsia="方正仿宋简体" w:cs="方正仿宋简体"/>
          <w:b w:val="0"/>
          <w:sz w:val="32"/>
          <w:szCs w:val="32"/>
        </w:rPr>
        <w:t>。公务接待费全年预算数0.00万元，决算数0.00万元，预决算差异率0.00%，主要原因是：</w:t>
      </w:r>
      <w:r>
        <w:rPr>
          <w:rFonts w:hint="eastAsia" w:ascii="仿宋_GB2312" w:eastAsia="仿宋_GB2312"/>
          <w:sz w:val="32"/>
          <w:szCs w:val="32"/>
          <w:highlight w:val="none"/>
        </w:rPr>
        <w:t>我单位无公务接待费</w:t>
      </w:r>
      <w:r>
        <w:rPr>
          <w:rFonts w:hint="eastAsia" w:ascii="方正仿宋简体" w:hAnsi="方正仿宋简体" w:eastAsia="方正仿宋简体" w:cs="方正仿宋简体"/>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ind w:firstLine="960" w:firstLineChars="300"/>
        <w:outlineLvl w:val="2"/>
        <w:rPr>
          <w:rFonts w:ascii="黑体" w:hAnsi="黑体" w:eastAsia="黑体"/>
          <w:sz w:val="32"/>
          <w:szCs w:val="32"/>
          <w:highlight w:val="none"/>
        </w:rPr>
      </w:pPr>
      <w:r>
        <w:rPr>
          <w:rFonts w:hint="eastAsia" w:ascii="仿宋_GB2312" w:eastAsia="仿宋_GB2312"/>
          <w:sz w:val="32"/>
          <w:szCs w:val="32"/>
          <w:highlight w:val="none"/>
        </w:rPr>
        <w:t>机关运行经费</w:t>
      </w:r>
      <w:r>
        <w:rPr>
          <w:rFonts w:hint="eastAsia" w:ascii="仿宋_GB2312" w:eastAsia="仿宋_GB2312"/>
          <w:sz w:val="32"/>
          <w:szCs w:val="32"/>
          <w:highlight w:val="none"/>
          <w:lang w:eastAsia="zh-CN"/>
        </w:rPr>
        <w:t>：略</w:t>
      </w:r>
      <w:r>
        <w:rPr>
          <w:rFonts w:hint="eastAsia" w:ascii="仿宋_GB2312" w:eastAsia="仿宋_GB2312"/>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p>
    <w:p>
      <w:pPr>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eastAsia="仿宋_GB2312"/>
          <w:sz w:val="32"/>
          <w:szCs w:val="32"/>
          <w:highlight w:val="none"/>
        </w:rPr>
        <w:t>政府采购情况</w:t>
      </w:r>
      <w:r>
        <w:rPr>
          <w:rFonts w:hint="eastAsia" w:eastAsia="仿宋_GB2312"/>
          <w:sz w:val="32"/>
          <w:szCs w:val="32"/>
          <w:highlight w:val="none"/>
          <w:lang w:eastAsia="zh-CN"/>
        </w:rPr>
        <w:t>：略</w:t>
      </w:r>
      <w:r>
        <w:rPr>
          <w:rFonts w:hint="eastAsia" w:eastAsia="仿宋_GB2312"/>
          <w:sz w:val="32"/>
          <w:szCs w:val="32"/>
          <w:highlight w:val="none"/>
        </w:rPr>
        <w:t>。</w:t>
      </w:r>
    </w:p>
    <w:p>
      <w:pPr>
        <w:keepNext w:val="0"/>
        <w:keepLines w:val="0"/>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b/>
          <w:sz w:val="32"/>
          <w:szCs w:val="32"/>
        </w:rPr>
      </w:pPr>
      <w:r>
        <w:rPr>
          <w:rFonts w:ascii="仿宋_GB2312" w:eastAsia="仿宋_GB2312"/>
          <w:b/>
          <w:sz w:val="32"/>
          <w:szCs w:val="32"/>
        </w:rPr>
        <w:t>国有资产占用情况说明</w:t>
      </w:r>
    </w:p>
    <w:p>
      <w:pPr>
        <w:numPr>
          <w:ilvl w:val="0"/>
          <w:numId w:val="0"/>
        </w:numPr>
        <w:outlineLvl w:val="2"/>
        <w:rPr>
          <w:rFonts w:hint="eastAsia" w:ascii="黑体" w:hAnsi="黑体" w:eastAsia="仿宋_GB2312"/>
          <w:sz w:val="32"/>
          <w:szCs w:val="32"/>
          <w:highlight w:val="none"/>
          <w:lang w:val="en-US" w:eastAsia="zh-CN"/>
        </w:rPr>
      </w:pPr>
      <w:r>
        <w:rPr>
          <w:rFonts w:hint="eastAsia" w:ascii="仿宋_GB2312" w:eastAsia="仿宋_GB2312"/>
          <w:b/>
          <w:sz w:val="32"/>
          <w:szCs w:val="32"/>
          <w:lang w:val="en-US" w:eastAsia="zh-CN"/>
        </w:rPr>
        <w:t xml:space="preserve">      </w:t>
      </w:r>
      <w:r>
        <w:rPr>
          <w:rFonts w:eastAsia="仿宋_GB2312"/>
          <w:sz w:val="32"/>
          <w:szCs w:val="32"/>
          <w:highlight w:val="none"/>
        </w:rPr>
        <w:t>国有资产占用情况</w:t>
      </w:r>
      <w:r>
        <w:rPr>
          <w:rFonts w:hint="eastAsia" w:eastAsia="仿宋_GB2312"/>
          <w:sz w:val="32"/>
          <w:szCs w:val="32"/>
          <w:highlight w:val="none"/>
          <w:lang w:eastAsia="zh-CN"/>
        </w:rPr>
        <w:t>：略。</w:t>
      </w:r>
    </w:p>
    <w:p>
      <w:pPr>
        <w:keepNext w:val="0"/>
        <w:keepLines w:val="0"/>
        <w:pageBreakBefore w:val="0"/>
        <w:widowControl/>
        <w:numPr>
          <w:ilvl w:val="0"/>
          <w:numId w:val="3"/>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b w:val="0"/>
          <w:sz w:val="32"/>
          <w:szCs w:val="32"/>
        </w:rPr>
      </w:pPr>
      <w:r>
        <w:rPr>
          <w:rFonts w:ascii="黑体" w:eastAsia="黑体"/>
          <w:b w:val="0"/>
          <w:sz w:val="32"/>
          <w:szCs w:val="32"/>
        </w:rPr>
        <w:t>预算绩效的情况说明</w:t>
      </w:r>
    </w:p>
    <w:p>
      <w:pPr>
        <w:ind w:firstLine="640" w:firstLineChars="200"/>
        <w:rPr>
          <w:rFonts w:ascii="仿宋_GB2312" w:eastAsia="仿宋_GB2312"/>
          <w:sz w:val="32"/>
          <w:szCs w:val="32"/>
          <w:highlight w:val="none"/>
        </w:rPr>
      </w:pPr>
      <w:r>
        <w:rPr>
          <w:rFonts w:hint="eastAsia" w:ascii="黑体" w:eastAsia="黑体"/>
          <w:b w:val="0"/>
          <w:sz w:val="32"/>
          <w:szCs w:val="32"/>
          <w:lang w:val="en-US" w:eastAsia="zh-CN"/>
        </w:rPr>
        <w:t xml:space="preserve">  </w:t>
      </w:r>
      <w:r>
        <w:rPr>
          <w:rFonts w:ascii="仿宋_GB2312" w:eastAsia="仿宋_GB2312"/>
          <w:sz w:val="32"/>
          <w:szCs w:val="32"/>
          <w:highlight w:val="none"/>
        </w:rPr>
        <w:t>预算绩效情况</w:t>
      </w:r>
      <w:r>
        <w:rPr>
          <w:rFonts w:hint="eastAsia" w:ascii="仿宋_GB2312" w:eastAsia="仿宋_GB2312"/>
          <w:sz w:val="32"/>
          <w:szCs w:val="32"/>
          <w:highlight w:val="none"/>
          <w:lang w:eastAsia="zh-CN"/>
        </w:rPr>
        <w:t>：略</w:t>
      </w:r>
      <w:r>
        <w:rPr>
          <w:rFonts w:hint="eastAsia" w:ascii="仿宋_GB2312" w:eastAsia="仿宋_GB2312"/>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240" w:lineRule="auto"/>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hAnsi="Times New Roman" w:eastAsia="仿宋_GB2312" w:cs="Times New Roman"/>
          <w:kern w:val="2"/>
          <w:sz w:val="32"/>
          <w:szCs w:val="32"/>
          <w:highlight w:val="none"/>
          <w:lang w:val="en-US" w:eastAsia="zh-CN" w:bidi="ar-SA"/>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360" w:lineRule="auto"/>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ascii="黑体" w:eastAsia="黑体"/>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05244"/>
    <w:multiLevelType w:val="singleLevel"/>
    <w:tmpl w:val="8B705244"/>
    <w:lvl w:ilvl="0" w:tentative="0">
      <w:start w:val="11"/>
      <w:numFmt w:val="chineseCounting"/>
      <w:suff w:val="nothing"/>
      <w:lvlText w:val="%1、"/>
      <w:lvlJc w:val="left"/>
      <w:rPr>
        <w:rFonts w:hint="eastAsia"/>
      </w:rPr>
    </w:lvl>
  </w:abstractNum>
  <w:abstractNum w:abstractNumId="1">
    <w:nsid w:val="EAB93199"/>
    <w:multiLevelType w:val="singleLevel"/>
    <w:tmpl w:val="EAB93199"/>
    <w:lvl w:ilvl="0" w:tentative="0">
      <w:start w:val="3"/>
      <w:numFmt w:val="chineseCounting"/>
      <w:suff w:val="nothing"/>
      <w:lvlText w:val="（%1）"/>
      <w:lvlJc w:val="left"/>
      <w:rPr>
        <w:rFonts w:hint="eastAsia"/>
      </w:rPr>
    </w:lvl>
  </w:abstractNum>
  <w:abstractNum w:abstractNumId="2">
    <w:nsid w:val="35C4C8D2"/>
    <w:multiLevelType w:val="singleLevel"/>
    <w:tmpl w:val="35C4C8D2"/>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71B099D"/>
    <w:rsid w:val="0F064AB0"/>
    <w:rsid w:val="15D75E2D"/>
    <w:rsid w:val="1A207090"/>
    <w:rsid w:val="21EA55C3"/>
    <w:rsid w:val="22247602"/>
    <w:rsid w:val="24B02179"/>
    <w:rsid w:val="27CA5AA9"/>
    <w:rsid w:val="2A46141D"/>
    <w:rsid w:val="2DFB7B3C"/>
    <w:rsid w:val="2F363191"/>
    <w:rsid w:val="33322642"/>
    <w:rsid w:val="3BEF071B"/>
    <w:rsid w:val="419F20F8"/>
    <w:rsid w:val="465B6F66"/>
    <w:rsid w:val="4E2D510A"/>
    <w:rsid w:val="4FFA52EC"/>
    <w:rsid w:val="546C68E0"/>
    <w:rsid w:val="602706F7"/>
    <w:rsid w:val="64131611"/>
    <w:rsid w:val="655955EF"/>
    <w:rsid w:val="69177E1C"/>
    <w:rsid w:val="69D20D3E"/>
    <w:rsid w:val="6AF97F4A"/>
    <w:rsid w:val="70691EFB"/>
    <w:rsid w:val="72FC27F4"/>
    <w:rsid w:val="7392551F"/>
    <w:rsid w:val="73DF4EFE"/>
    <w:rsid w:val="79200EA2"/>
    <w:rsid w:val="79C02E35"/>
    <w:rsid w:val="7CEE57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TotalTime>
  <ScaleCrop>false</ScaleCrop>
  <LinksUpToDate>false</LinksUpToDate>
  <Application>WPS Office_11.1.0.8822_F1E327BC-269C-435d-A152-05C5408002CA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Lenovo</dc:creator>
  <cp:lastModifiedBy>Lenovo</cp:lastModifiedBy>
  <cp:lastPrinted>2025-08-25T05:03:45Z</cp:lastPrinted>
  <dcterms:modified xsi:type="dcterms:W3CDTF">2025-08-25T05:07:12Z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ies>
</file>